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20" w:line="360" w:lineRule="auto"/>
        <w:jc w:val="center"/>
        <w:rPr>
          <w:rFonts w:ascii="Times New Roman" w:hAnsi="Times New Roman"/>
        </w:rPr>
      </w:pPr>
      <w:bookmarkStart w:id="0" w:name="_Toc492547086"/>
      <w:bookmarkStart w:id="1" w:name="_Toc493880131"/>
      <w:bookmarkStart w:id="2" w:name="_Toc491698718"/>
      <w:r>
        <w:rPr>
          <w:rFonts w:ascii="Times New Roman" w:hAnsi="Times New Roman"/>
        </w:rPr>
        <w:t>西安医学院临床医学硕士专业学位研究生学位论文标准</w:t>
      </w:r>
      <w:bookmarkEnd w:id="0"/>
      <w:bookmarkEnd w:id="1"/>
      <w:bookmarkEnd w:id="2"/>
    </w:p>
    <w:p>
      <w:pPr>
        <w:spacing w:after="240" w:line="360" w:lineRule="auto"/>
        <w:jc w:val="center"/>
        <w:rPr>
          <w:rFonts w:ascii="Times New Roman" w:hAnsi="Times New Roman"/>
          <w:sz w:val="24"/>
          <w:szCs w:val="24"/>
        </w:rPr>
      </w:pPr>
      <w:r>
        <w:rPr>
          <w:rFonts w:ascii="Times New Roman" w:hAnsi="Times New Roman"/>
          <w:sz w:val="24"/>
          <w:szCs w:val="24"/>
        </w:rPr>
        <w:t>西医发［2013］52号</w:t>
      </w:r>
    </w:p>
    <w:p>
      <w:pPr>
        <w:tabs>
          <w:tab w:val="left" w:pos="420"/>
        </w:tabs>
        <w:adjustRightIn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一、临床医学硕士专业学位论文概述</w:t>
      </w:r>
    </w:p>
    <w:p>
      <w:pPr>
        <w:tabs>
          <w:tab w:val="left" w:pos="420"/>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学位论文是对研究生进行科学研究工作的全面训练，是研究生学习并掌握临床科学研究基本方法的主要手段；是培养研究生临床思维能力、创新能力，综合运用所学的知识发现问题、分析解决问题和解决问题能力的重要环节。同时也是衡量学生能否获得学位的重要依据之一。</w:t>
      </w:r>
    </w:p>
    <w:p>
      <w:pPr>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临床医学硕士专业学位论文必须体现临床医学领域的职业特点，既不能强调学术研究，也不能认为是临床工作的简单总结；重点应密切结合实践，能够体现运用所学专业或相关专业的理论、知识、方法和手段，分析与解决临床实际问题；能体现具有创新意识和承担临床医学领域实际工作和管理工作的能力。研究结果应对临床工作具有一定的应用价值。根据国务院学位办的文件精神，结合我校实际情况，对专业硕士研究生学位论文具体要求如下：</w:t>
      </w:r>
    </w:p>
    <w:p>
      <w:pPr>
        <w:tabs>
          <w:tab w:val="left" w:pos="420"/>
        </w:tabs>
        <w:adjustRightIn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二、学位论文内容的基本要求</w:t>
      </w:r>
    </w:p>
    <w:p>
      <w:pPr>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（一）内容与方法</w:t>
      </w:r>
    </w:p>
    <w:p>
      <w:pPr>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1、选题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在导师指导下，通过临床实践或社区调研、查阅文献资料和预实验等，做好学位论文选题工作。选题的基本原则是：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（1）应对临床医疗及卫生事业发展有一定的意义和实用价值，具有创新性。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（2）应与本专业或导师现有的研究方向或科研项目有关的内容。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（3）课题要紧密结合临床实际，以总结临床实践经验为主。</w:t>
      </w:r>
    </w:p>
    <w:p>
      <w:pPr>
        <w:tabs>
          <w:tab w:val="left" w:pos="916"/>
          <w:tab w:val="left" w:pos="1832"/>
          <w:tab w:val="left" w:pos="2748"/>
          <w:tab w:val="left" w:pos="3664"/>
          <w:tab w:val="left" w:pos="4580"/>
          <w:tab w:val="left" w:pos="5496"/>
          <w:tab w:val="left" w:pos="6412"/>
          <w:tab w:val="left" w:pos="7328"/>
          <w:tab w:val="left" w:pos="8244"/>
          <w:tab w:val="left" w:pos="854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（4）考虑课题研究时间、研究设备、实验材料和实验经费条件，并能在预定的时间内完成。</w:t>
      </w:r>
    </w:p>
    <w:p>
      <w:pPr>
        <w:spacing w:line="360" w:lineRule="auto"/>
        <w:ind w:firstLine="480" w:firstLineChars="200"/>
        <w:jc w:val="left"/>
        <w:rPr>
          <w:rFonts w:ascii="Times New Roman" w:hAnsi="Times New Roman"/>
          <w:color w:val="000000"/>
          <w:sz w:val="24"/>
          <w:szCs w:val="24"/>
        </w:rPr>
      </w:pPr>
      <w:bookmarkStart w:id="3" w:name="OLE_LINK1"/>
      <w:r>
        <w:rPr>
          <w:rFonts w:ascii="Times New Roman" w:hAnsi="Times New Roman"/>
          <w:color w:val="000000"/>
          <w:sz w:val="24"/>
          <w:szCs w:val="24"/>
        </w:rPr>
        <w:t>2、研究内容和方法</w:t>
      </w:r>
    </w:p>
    <w:bookmarkEnd w:id="3"/>
    <w:p>
      <w:pPr>
        <w:spacing w:line="360" w:lineRule="auto"/>
        <w:ind w:firstLine="480" w:firstLineChars="200"/>
        <w:jc w:val="left"/>
        <w:rPr>
          <w:rFonts w:ascii="Times New Roman" w:hAnsi="Times New Roman"/>
          <w:sz w:val="24"/>
          <w:szCs w:val="24"/>
        </w:rPr>
      </w:pPr>
      <w:r>
        <w:rPr>
          <w:rFonts w:ascii="Times New Roman" w:hAnsi="Times New Roman"/>
          <w:sz w:val="24"/>
          <w:szCs w:val="24"/>
        </w:rPr>
        <w:t>在论文研究方法上，强调论文综合运用基础理论、科学方法、专业知识和技术手段等对病例、文献资料进行分析、并能提出独立见解。</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临床医学硕士专业学位论文可分为以人群为对象的研究、以个案为对象的研究和以文献资料为对象的研究等三种形式。不同选题、不同形式的论文研究内容和研究方法也有所不同。在论文研究方法上，强调论文综合运用基础理论、科学方法、专业知识和技术手段等对病例、文献资料进行分析，并能提出独立见解。</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（1）以人群为对象的研究</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主要是以临床实践中的实际问题或其他治疗方法的疗效和完全性的临床观察为内容，不同课题中的临床研究两者之间应具有较好的可比性。研究设计中应考虑质量控制问题，并提出具体的落实措施；分析、总结和答辩时可考虑在适当的地方说明与质控有关的问题。应使用正确的统计分析研究。应在文献综述的基础上有明确、合理的设想或工作假说，对引用文献和病例分析的数量也要有明确的要求。研究中应设立对照组，研究组和对照组的病例都应事先规定明确的入选标准和排除标准方法，在统计学评价的基础上应做专业评价。</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（2）以个案为对象的研究</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研究某种最新的临床诊断或治疗技术(病例数稀少)，并详细收集和描述个案各方面的情况，尤其注意突出关键的技术创新点。文献综述应包括尽可能详尽的文献复习和适当的文献数据二次统计分析。将个案研究与文献综述的结果结合起来，做出专业评价，最后得出明确的结论。</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（3）以文献资料为对象的研究</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该研究应运用Meta分析方法，对多年积累的临床资料，或者是从临床病例中总结出的经验，或者是利用文献资料进行分析和概括。论文的范围是已有一定基础、代表国内外先进水平的某个方向，如最新的临床诊断或治疗技术。应尽可能收集国内外有关研究的文献，要求所收集及引用的文献的权威性，引用文献不少于100篇，国外资料不应低于30%，近5年内文献不应低于50%。对达到一定标准的文献资料作统计分析，在统计分析的基础上作深入的专业评价，并要求得出简单、明确、对本专业有重要意义的结论。</w:t>
      </w:r>
    </w:p>
    <w:p>
      <w:pPr>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3、研究成果</w:t>
      </w:r>
    </w:p>
    <w:p>
      <w:pPr>
        <w:spacing w:line="360" w:lineRule="auto"/>
        <w:ind w:firstLine="480" w:firstLineChars="200"/>
        <w:jc w:val="left"/>
        <w:rPr>
          <w:rFonts w:ascii="Times New Roman" w:hAnsi="Times New Roman"/>
          <w:sz w:val="24"/>
          <w:szCs w:val="24"/>
        </w:rPr>
      </w:pPr>
      <w:r>
        <w:rPr>
          <w:rFonts w:ascii="Times New Roman" w:hAnsi="Times New Roman"/>
          <w:color w:val="000000"/>
          <w:sz w:val="24"/>
          <w:szCs w:val="24"/>
        </w:rPr>
        <w:t>学位论文具研究具有一定的先进性和实际应用价值，解决临床或社区的现实问题，</w:t>
      </w:r>
      <w:r>
        <w:rPr>
          <w:rFonts w:ascii="Times New Roman" w:hAnsi="Times New Roman"/>
          <w:sz w:val="24"/>
          <w:szCs w:val="24"/>
        </w:rPr>
        <w:t>成果应体现一定的技术难度和理论深度，体现作者的新观点或新见解。</w:t>
      </w:r>
    </w:p>
    <w:p>
      <w:pPr>
        <w:tabs>
          <w:tab w:val="left" w:pos="6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（二）撰写要求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临床医学硕士专业学位论文正文字数一般不少于2.5万字。组成及具体要求如下：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1.前言：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阐述所研究疾病的背景及研究的必要性，对所研究疾病的国内外现状有清晰的描述与分析，并简述研究的主要内容。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2.研究方法：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介绍资料数据的来源、获取手段及分析方法。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3.研究与分析：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综合运用医学研究基础理论与专业知识、科学方法进行理论分析研究，并采用合理的医学统计方法对资料和数据进行汇总、处理和分析，给出明确的结果。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4.应用或验证：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将研究成果应用于实际，并对研究成果的先进性、实用性、可靠性、局限性等进行分析。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5.总结：</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概括本研究开展的主要工作和结论，并指出在研究中的新思路和新见解；研究成果的临床应用价值，并对未来改进研究进行展望或提出建议。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（三）评价指标</w:t>
      </w:r>
    </w:p>
    <w:tbl>
      <w:tblPr>
        <w:tblStyle w:val="4"/>
        <w:tblW w:w="832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1607"/>
        <w:gridCol w:w="5935"/>
        <w:gridCol w:w="78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561" w:hRule="exact"/>
        </w:trPr>
        <w:tc>
          <w:tcPr>
            <w:tcW w:w="1607"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评价指标</w:t>
            </w:r>
          </w:p>
        </w:tc>
        <w:tc>
          <w:tcPr>
            <w:tcW w:w="59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eastAsia="楷体_GB2312"/>
                <w:bCs/>
                <w:kern w:val="0"/>
                <w:szCs w:val="21"/>
              </w:rPr>
            </w:pPr>
            <w:r>
              <w:rPr>
                <w:rFonts w:ascii="Times New Roman" w:hAnsi="Times New Roman"/>
                <w:bCs/>
                <w:kern w:val="0"/>
                <w:szCs w:val="21"/>
              </w:rPr>
              <w:t>评价要素</w:t>
            </w:r>
          </w:p>
        </w:tc>
        <w:tc>
          <w:tcPr>
            <w:tcW w:w="78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ind w:right="52"/>
              <w:jc w:val="center"/>
              <w:rPr>
                <w:rFonts w:ascii="Times New Roman" w:hAnsi="Times New Roman" w:eastAsia="楷体_GB2312"/>
                <w:bCs/>
                <w:kern w:val="0"/>
                <w:szCs w:val="21"/>
              </w:rPr>
            </w:pPr>
            <w:r>
              <w:rPr>
                <w:rFonts w:ascii="Times New Roman" w:hAnsi="Times New Roman"/>
                <w:bCs/>
                <w:kern w:val="0"/>
                <w:szCs w:val="21"/>
              </w:rPr>
              <w:t>权重</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528" w:hRule="exact"/>
        </w:trPr>
        <w:tc>
          <w:tcPr>
            <w:tcW w:w="1607" w:type="dxa"/>
            <w:tcBorders>
              <w:top w:val="single" w:color="auto" w:sz="4" w:space="0"/>
              <w:bottom w:val="nil"/>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选题与综述</w:t>
            </w:r>
          </w:p>
        </w:tc>
        <w:tc>
          <w:tcPr>
            <w:tcW w:w="5935" w:type="dxa"/>
            <w:tcBorders>
              <w:top w:val="single" w:color="auto" w:sz="4" w:space="0"/>
              <w:left w:val="single" w:color="auto" w:sz="4" w:space="0"/>
              <w:bottom w:val="nil"/>
              <w:right w:val="single" w:color="auto" w:sz="4" w:space="0"/>
            </w:tcBorders>
            <w:vAlign w:val="center"/>
          </w:tcPr>
          <w:p>
            <w:pPr>
              <w:autoSpaceDE w:val="0"/>
              <w:autoSpaceDN w:val="0"/>
              <w:adjustRightInd w:val="0"/>
              <w:spacing w:line="360" w:lineRule="auto"/>
              <w:ind w:right="52"/>
              <w:jc w:val="left"/>
              <w:rPr>
                <w:rFonts w:ascii="Times New Roman" w:hAnsi="Times New Roman"/>
                <w:bCs/>
                <w:kern w:val="0"/>
                <w:szCs w:val="21"/>
              </w:rPr>
            </w:pPr>
            <w:r>
              <w:rPr>
                <w:rFonts w:ascii="Times New Roman" w:hAnsi="Times New Roman"/>
                <w:bCs/>
                <w:kern w:val="0"/>
                <w:szCs w:val="21"/>
              </w:rPr>
              <w:t>明确的临床应用背景和一定的研究必要性以及临床应用价值。</w:t>
            </w:r>
          </w:p>
        </w:tc>
        <w:tc>
          <w:tcPr>
            <w:tcW w:w="784" w:type="dxa"/>
            <w:tcBorders>
              <w:top w:val="single" w:color="auto" w:sz="4" w:space="0"/>
              <w:left w:val="single" w:color="auto" w:sz="4" w:space="0"/>
              <w:bottom w:val="nil"/>
            </w:tcBorders>
            <w:vAlign w:val="center"/>
          </w:tcPr>
          <w:p>
            <w:pPr>
              <w:autoSpaceDE w:val="0"/>
              <w:autoSpaceDN w:val="0"/>
              <w:adjustRightInd w:val="0"/>
              <w:spacing w:line="360" w:lineRule="auto"/>
              <w:ind w:right="52"/>
              <w:jc w:val="center"/>
              <w:rPr>
                <w:rFonts w:ascii="Times New Roman" w:hAnsi="Times New Roman"/>
                <w:bCs/>
                <w:kern w:val="0"/>
                <w:szCs w:val="21"/>
                <w:rtl/>
                <w:lang w:bidi="he-IL"/>
              </w:rPr>
            </w:pPr>
            <w:r>
              <w:rPr>
                <w:rFonts w:ascii="Times New Roman" w:hAnsi="Times New Roman"/>
                <w:bCs/>
                <w:kern w:val="0"/>
                <w:szCs w:val="21"/>
              </w:rPr>
              <w:t>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423" w:hRule="exact"/>
        </w:trPr>
        <w:tc>
          <w:tcPr>
            <w:tcW w:w="1607"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创新性</w:t>
            </w:r>
          </w:p>
        </w:tc>
        <w:tc>
          <w:tcPr>
            <w:tcW w:w="59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52"/>
              <w:jc w:val="left"/>
              <w:rPr>
                <w:rFonts w:ascii="Times New Roman" w:hAnsi="Times New Roman"/>
                <w:bCs/>
                <w:kern w:val="0"/>
                <w:szCs w:val="21"/>
              </w:rPr>
            </w:pPr>
            <w:r>
              <w:rPr>
                <w:rFonts w:ascii="Times New Roman" w:hAnsi="Times New Roman"/>
                <w:bCs/>
                <w:kern w:val="0"/>
                <w:szCs w:val="21"/>
              </w:rPr>
              <w:t>研究视角或研究方法的独特性;观点、结论或对策的新颖性。</w:t>
            </w:r>
          </w:p>
        </w:tc>
        <w:tc>
          <w:tcPr>
            <w:tcW w:w="78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tl/>
                <w:lang w:bidi="he-IL"/>
              </w:rPr>
            </w:pPr>
            <w:r>
              <w:rPr>
                <w:rFonts w:ascii="Times New Roman" w:hAnsi="Times New Roman"/>
                <w:bCs/>
                <w:kern w:val="0"/>
                <w:szCs w:val="21"/>
              </w:rPr>
              <w:t>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624" w:hRule="atLeast"/>
        </w:trPr>
        <w:tc>
          <w:tcPr>
            <w:tcW w:w="1607"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基础知识</w:t>
            </w:r>
          </w:p>
        </w:tc>
        <w:tc>
          <w:tcPr>
            <w:tcW w:w="5935" w:type="dxa"/>
            <w:tcBorders>
              <w:top w:val="single" w:color="auto" w:sz="4" w:space="0"/>
              <w:left w:val="single" w:color="auto" w:sz="4" w:space="0"/>
              <w:right w:val="nil"/>
            </w:tcBorders>
            <w:vAlign w:val="center"/>
          </w:tcPr>
          <w:p>
            <w:pPr>
              <w:autoSpaceDE w:val="0"/>
              <w:autoSpaceDN w:val="0"/>
              <w:adjustRightInd w:val="0"/>
              <w:spacing w:line="360" w:lineRule="auto"/>
              <w:ind w:right="52"/>
              <w:jc w:val="left"/>
              <w:rPr>
                <w:rFonts w:ascii="Times New Roman" w:hAnsi="Times New Roman"/>
                <w:bCs/>
                <w:kern w:val="0"/>
                <w:szCs w:val="21"/>
              </w:rPr>
            </w:pPr>
            <w:r>
              <w:rPr>
                <w:rFonts w:ascii="Times New Roman" w:hAnsi="Times New Roman"/>
                <w:bCs/>
                <w:kern w:val="0"/>
                <w:szCs w:val="21"/>
              </w:rPr>
              <w:t>论文内容及结论体现本学科领域系统的专门知识和专业技能，并体现严谨的职业规范性、一定的工作量及研究难度。</w:t>
            </w:r>
          </w:p>
        </w:tc>
        <w:tc>
          <w:tcPr>
            <w:tcW w:w="784" w:type="dxa"/>
            <w:tcBorders>
              <w:top w:val="single" w:color="auto" w:sz="4" w:space="0"/>
              <w:lef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615" w:hRule="atLeast"/>
        </w:trPr>
        <w:tc>
          <w:tcPr>
            <w:tcW w:w="1607"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应用性及</w:t>
            </w:r>
          </w:p>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论文价值</w:t>
            </w:r>
          </w:p>
        </w:tc>
        <w:tc>
          <w:tcPr>
            <w:tcW w:w="5935"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right="52"/>
              <w:jc w:val="left"/>
              <w:rPr>
                <w:rFonts w:ascii="Times New Roman" w:hAnsi="Times New Roman"/>
                <w:bCs/>
                <w:kern w:val="0"/>
                <w:szCs w:val="21"/>
              </w:rPr>
            </w:pPr>
            <w:r>
              <w:rPr>
                <w:rFonts w:ascii="Times New Roman" w:hAnsi="Times New Roman"/>
                <w:bCs/>
                <w:kern w:val="0"/>
                <w:szCs w:val="21"/>
              </w:rPr>
              <w:t>论文成果对临床实践具有实际指导意义，或有一定的社会效益或经济效益。</w:t>
            </w:r>
          </w:p>
        </w:tc>
        <w:tc>
          <w:tcPr>
            <w:tcW w:w="78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tl/>
                <w:lang w:bidi="he-IL"/>
              </w:rPr>
            </w:pPr>
            <w:r>
              <w:rPr>
                <w:rFonts w:ascii="Times New Roman" w:hAnsi="Times New Roman"/>
                <w:bCs/>
                <w:kern w:val="0"/>
                <w:szCs w:val="21"/>
              </w:rPr>
              <w:t>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656" w:hRule="atLeast"/>
        </w:trPr>
        <w:tc>
          <w:tcPr>
            <w:tcW w:w="1607"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规范性</w:t>
            </w:r>
          </w:p>
        </w:tc>
        <w:tc>
          <w:tcPr>
            <w:tcW w:w="5935"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right="52"/>
              <w:jc w:val="left"/>
              <w:rPr>
                <w:rFonts w:ascii="Times New Roman" w:hAnsi="Times New Roman"/>
                <w:bCs/>
                <w:kern w:val="0"/>
                <w:szCs w:val="21"/>
              </w:rPr>
            </w:pPr>
            <w:r>
              <w:rPr>
                <w:rFonts w:ascii="Times New Roman" w:hAnsi="Times New Roman"/>
                <w:bCs/>
                <w:kern w:val="0"/>
                <w:szCs w:val="21"/>
              </w:rPr>
              <w:t>论文撰写规范，论证分析严谨合理，表格图式运用准确，资料引证、注释规范。</w:t>
            </w:r>
          </w:p>
        </w:tc>
        <w:tc>
          <w:tcPr>
            <w:tcW w:w="78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tl/>
                <w:lang w:bidi="he-IL"/>
              </w:rPr>
            </w:pPr>
            <w:r>
              <w:rPr>
                <w:rFonts w:ascii="Times New Roman" w:hAnsi="Times New Roman"/>
                <w:bCs/>
                <w:kern w:val="0"/>
                <w:szCs w:val="21"/>
              </w:rPr>
              <w:t>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492" w:hRule="atLeast"/>
        </w:trPr>
        <w:tc>
          <w:tcPr>
            <w:tcW w:w="1607"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引证、注释规范</w:t>
            </w:r>
          </w:p>
        </w:tc>
        <w:tc>
          <w:tcPr>
            <w:tcW w:w="5935"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p>
        </w:tc>
        <w:tc>
          <w:tcPr>
            <w:tcW w:w="78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tl/>
                <w:lang w:bidi="he-IL"/>
              </w:rPr>
            </w:pPr>
            <w:r>
              <w:rPr>
                <w:rFonts w:ascii="Times New Roman" w:hAnsi="Times New Roman"/>
                <w:bCs/>
                <w:kern w:val="0"/>
                <w:szCs w:val="21"/>
              </w:rPr>
              <w:t>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Ex>
        <w:trPr>
          <w:trHeight w:val="546" w:hRule="exact"/>
        </w:trPr>
        <w:tc>
          <w:tcPr>
            <w:tcW w:w="1607" w:type="dxa"/>
            <w:tcBorders>
              <w:top w:val="single" w:color="auto" w:sz="4" w:space="0"/>
              <w:bottom w:val="single" w:color="auto" w:sz="4" w:space="0"/>
              <w:right w:val="nil"/>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综合评价</w:t>
            </w:r>
          </w:p>
        </w:tc>
        <w:tc>
          <w:tcPr>
            <w:tcW w:w="593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p>
        </w:tc>
        <w:tc>
          <w:tcPr>
            <w:tcW w:w="78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ind w:right="52"/>
              <w:jc w:val="center"/>
              <w:rPr>
                <w:rFonts w:ascii="Times New Roman" w:hAnsi="Times New Roman"/>
                <w:bCs/>
                <w:kern w:val="0"/>
                <w:szCs w:val="21"/>
              </w:rPr>
            </w:pPr>
            <w:r>
              <w:rPr>
                <w:rFonts w:ascii="Times New Roman" w:hAnsi="Times New Roman"/>
                <w:bCs/>
                <w:kern w:val="0"/>
                <w:szCs w:val="21"/>
              </w:rPr>
              <w:t>100%</w:t>
            </w:r>
          </w:p>
        </w:tc>
      </w:tr>
    </w:tbl>
    <w:p>
      <w:pPr>
        <w:autoSpaceDE w:val="0"/>
        <w:autoSpaceDN w:val="0"/>
        <w:adjustRightInd w:val="0"/>
        <w:spacing w:line="360" w:lineRule="auto"/>
        <w:ind w:right="52"/>
        <w:jc w:val="left"/>
        <w:rPr>
          <w:rFonts w:ascii="Times New Roman" w:hAnsi="Times New Roman"/>
          <w:bCs/>
          <w:kern w:val="0"/>
          <w:szCs w:val="24"/>
        </w:rPr>
      </w:pPr>
      <w:r>
        <w:rPr>
          <w:rFonts w:ascii="Times New Roman" w:hAnsi="Times New Roman"/>
          <w:bCs/>
          <w:kern w:val="0"/>
          <w:szCs w:val="24"/>
        </w:rPr>
        <w:t>注:评价结论分为优秀、良好、合格、不合格四种。优秀:≥90；良好：89-75；合格：74-60；不合格：≤59</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1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2018-05-28T02:54:06Z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